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EA" w:rsidRPr="00C006EA" w:rsidRDefault="00C006EA" w:rsidP="00D97F0D">
      <w:pPr>
        <w:spacing w:after="1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006EA" w:rsidRPr="00C006EA" w:rsidRDefault="00C006EA" w:rsidP="001376A9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Посо</w:t>
      </w:r>
      <w:r>
        <w:rPr>
          <w:rFonts w:ascii="Times New Roman" w:hAnsi="Times New Roman"/>
          <w:sz w:val="24"/>
          <w:szCs w:val="24"/>
        </w:rPr>
        <w:t>лството на Република България в Претория има честта да обяви началото на</w:t>
      </w:r>
      <w:r w:rsidR="005A6D7F">
        <w:rPr>
          <w:rFonts w:ascii="Times New Roman" w:hAnsi="Times New Roman"/>
          <w:sz w:val="24"/>
          <w:szCs w:val="24"/>
        </w:rPr>
        <w:t xml:space="preserve"> </w:t>
      </w:r>
      <w:r w:rsidR="00DC6A45">
        <w:rPr>
          <w:rFonts w:ascii="Times New Roman" w:hAnsi="Times New Roman"/>
          <w:sz w:val="24"/>
          <w:szCs w:val="24"/>
        </w:rPr>
        <w:t xml:space="preserve">процедура за </w:t>
      </w:r>
      <w:r w:rsidR="005A6D7F">
        <w:rPr>
          <w:rFonts w:ascii="Times New Roman" w:hAnsi="Times New Roman"/>
          <w:sz w:val="24"/>
          <w:szCs w:val="24"/>
        </w:rPr>
        <w:t>подбор на кандидатури по</w:t>
      </w:r>
    </w:p>
    <w:p w:rsidR="00C006EA" w:rsidRPr="00C006EA" w:rsidRDefault="00C006EA" w:rsidP="00D97F0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ПРОГРАМА</w:t>
      </w:r>
      <w:r w:rsidR="00D249AF">
        <w:rPr>
          <w:rFonts w:ascii="Times New Roman" w:hAnsi="Times New Roman"/>
          <w:sz w:val="24"/>
          <w:szCs w:val="24"/>
        </w:rPr>
        <w:t xml:space="preserve"> ЗА </w:t>
      </w:r>
      <w:r w:rsidRPr="00C006EA">
        <w:rPr>
          <w:rFonts w:ascii="Times New Roman" w:hAnsi="Times New Roman"/>
          <w:sz w:val="24"/>
          <w:szCs w:val="24"/>
        </w:rPr>
        <w:t>ПОДПОМАГАНЕ НА БЪЛГАРСКИТЕ ОРГАНИЗАЦИИ И МЕДИИ ИЗВЪН СТРАНАТА</w:t>
      </w:r>
      <w:r w:rsidR="00D249AF">
        <w:rPr>
          <w:rFonts w:ascii="Times New Roman" w:hAnsi="Times New Roman"/>
          <w:sz w:val="24"/>
          <w:szCs w:val="24"/>
        </w:rPr>
        <w:tab/>
      </w:r>
    </w:p>
    <w:p w:rsidR="00C006EA" w:rsidRPr="00C006EA" w:rsidRDefault="005138CE" w:rsidP="00D97F0D">
      <w:pPr>
        <w:spacing w:after="120"/>
        <w:ind w:firstLine="360"/>
        <w:jc w:val="both"/>
        <w:rPr>
          <w:rFonts w:ascii="Times New Roman" w:hAnsi="Times New Roman"/>
          <w:sz w:val="24"/>
          <w:szCs w:val="24"/>
        </w:rPr>
      </w:pPr>
      <w:r w:rsidRPr="005138CE">
        <w:rPr>
          <w:rFonts w:ascii="Times New Roman" w:hAnsi="Times New Roman"/>
          <w:sz w:val="24"/>
          <w:szCs w:val="24"/>
        </w:rPr>
        <w:t>Програма</w:t>
      </w:r>
      <w:r>
        <w:rPr>
          <w:rFonts w:ascii="Times New Roman" w:hAnsi="Times New Roman"/>
          <w:sz w:val="24"/>
          <w:szCs w:val="24"/>
        </w:rPr>
        <w:t>та</w:t>
      </w:r>
      <w:r w:rsidRPr="005138CE">
        <w:rPr>
          <w:rFonts w:ascii="Times New Roman" w:hAnsi="Times New Roman"/>
          <w:sz w:val="24"/>
          <w:szCs w:val="24"/>
        </w:rPr>
        <w:t xml:space="preserve"> за подпомагане на българските организации и медии извън страната за 2022 – 2023 г.</w:t>
      </w:r>
      <w:r>
        <w:rPr>
          <w:rFonts w:ascii="Times New Roman" w:hAnsi="Times New Roman"/>
          <w:sz w:val="24"/>
          <w:szCs w:val="24"/>
        </w:rPr>
        <w:t xml:space="preserve">, приета с решение на Министерски съвет, </w:t>
      </w:r>
      <w:r w:rsidR="00C006EA" w:rsidRPr="00C006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 насочена към о</w:t>
      </w:r>
      <w:r w:rsidR="00C006EA" w:rsidRPr="00C006EA">
        <w:rPr>
          <w:rFonts w:ascii="Times New Roman" w:hAnsi="Times New Roman"/>
          <w:sz w:val="24"/>
          <w:szCs w:val="24"/>
        </w:rPr>
        <w:t>рганизациите и медиите извън страната</w:t>
      </w:r>
      <w:r>
        <w:rPr>
          <w:rFonts w:ascii="Times New Roman" w:hAnsi="Times New Roman"/>
          <w:sz w:val="24"/>
          <w:szCs w:val="24"/>
        </w:rPr>
        <w:t>, които</w:t>
      </w:r>
      <w:r w:rsidR="00C006EA" w:rsidRPr="00C006EA">
        <w:rPr>
          <w:rFonts w:ascii="Times New Roman" w:hAnsi="Times New Roman"/>
          <w:sz w:val="24"/>
          <w:szCs w:val="24"/>
        </w:rPr>
        <w:t xml:space="preserve"> изпълняват ключова роля за навременното осведомяване на сънародниците ни за п</w:t>
      </w:r>
      <w:r>
        <w:rPr>
          <w:rFonts w:ascii="Times New Roman" w:hAnsi="Times New Roman"/>
          <w:sz w:val="24"/>
          <w:szCs w:val="24"/>
        </w:rPr>
        <w:t>роцеси, събития и инициативи в</w:t>
      </w:r>
      <w:r w:rsidR="00C006EA" w:rsidRPr="00C006EA">
        <w:rPr>
          <w:rFonts w:ascii="Times New Roman" w:hAnsi="Times New Roman"/>
          <w:sz w:val="24"/>
          <w:szCs w:val="24"/>
        </w:rPr>
        <w:t xml:space="preserve"> и отвъд пределите на България.</w:t>
      </w:r>
      <w:r w:rsidR="003A11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006EA" w:rsidRPr="00C006EA">
        <w:rPr>
          <w:rFonts w:ascii="Times New Roman" w:hAnsi="Times New Roman"/>
          <w:sz w:val="24"/>
          <w:szCs w:val="24"/>
        </w:rPr>
        <w:t xml:space="preserve">Българската държава </w:t>
      </w:r>
      <w:r w:rsidR="003A1106">
        <w:rPr>
          <w:rFonts w:ascii="Times New Roman" w:hAnsi="Times New Roman"/>
          <w:sz w:val="24"/>
          <w:szCs w:val="24"/>
        </w:rPr>
        <w:t>предоставя възможност чрез програмата да окаже</w:t>
      </w:r>
      <w:r w:rsidR="00C006EA" w:rsidRPr="00C006EA">
        <w:rPr>
          <w:rFonts w:ascii="Times New Roman" w:hAnsi="Times New Roman"/>
          <w:sz w:val="24"/>
          <w:szCs w:val="24"/>
        </w:rPr>
        <w:t xml:space="preserve"> необходимото </w:t>
      </w:r>
      <w:r w:rsidR="00401285">
        <w:rPr>
          <w:rFonts w:ascii="Times New Roman" w:hAnsi="Times New Roman"/>
          <w:sz w:val="24"/>
          <w:szCs w:val="24"/>
        </w:rPr>
        <w:t xml:space="preserve">финансово </w:t>
      </w:r>
      <w:r w:rsidR="00C006EA" w:rsidRPr="00C006EA">
        <w:rPr>
          <w:rFonts w:ascii="Times New Roman" w:hAnsi="Times New Roman"/>
          <w:sz w:val="24"/>
          <w:szCs w:val="24"/>
        </w:rPr>
        <w:t>съдействие за инициативите им.</w:t>
      </w:r>
      <w:r w:rsidR="00D249AF">
        <w:rPr>
          <w:rFonts w:ascii="Times New Roman" w:hAnsi="Times New Roman"/>
          <w:sz w:val="24"/>
          <w:szCs w:val="24"/>
        </w:rPr>
        <w:t xml:space="preserve"> </w:t>
      </w:r>
      <w:r w:rsidR="00C006EA" w:rsidRPr="00C006EA">
        <w:rPr>
          <w:rFonts w:ascii="Times New Roman" w:hAnsi="Times New Roman"/>
          <w:sz w:val="24"/>
          <w:szCs w:val="24"/>
        </w:rPr>
        <w:t>Средствата ще се предоставят на проектна основа, в рамките на предложената Програма, на организациите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C006EA" w:rsidRPr="00C006EA" w:rsidRDefault="00C006EA" w:rsidP="00D97F0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ЦЕЛИ</w:t>
      </w:r>
    </w:p>
    <w:p w:rsidR="00C006EA" w:rsidRPr="00C006EA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 xml:space="preserve">Обща цел: съхранение на българския дух и развитие на общностната кохезия на сънародниците ни зад граница.    </w:t>
      </w:r>
    </w:p>
    <w:p w:rsidR="00C006EA" w:rsidRPr="00235216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 xml:space="preserve">Конкретна (специфична) цел: 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C006EA" w:rsidRPr="00C006EA" w:rsidRDefault="00C006EA" w:rsidP="00D97F0D">
      <w:pPr>
        <w:pStyle w:val="ListParagraph"/>
        <w:spacing w:after="120"/>
        <w:ind w:left="1080"/>
        <w:jc w:val="both"/>
        <w:rPr>
          <w:rFonts w:ascii="Times New Roman" w:hAnsi="Times New Roman"/>
          <w:sz w:val="24"/>
          <w:szCs w:val="24"/>
        </w:rPr>
      </w:pPr>
    </w:p>
    <w:p w:rsidR="00C006EA" w:rsidRPr="00C006EA" w:rsidRDefault="00C006EA" w:rsidP="00D97F0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ОЧАКВАНИ РЕЗУЛТАТИ</w:t>
      </w:r>
    </w:p>
    <w:p w:rsidR="00C006EA" w:rsidRPr="00C006EA" w:rsidRDefault="00C006EA" w:rsidP="00D97F0D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Подобрена среда и устойчиви стимули за развитие на българските общности, организации и медии зад граница.</w:t>
      </w:r>
    </w:p>
    <w:p w:rsidR="00C006EA" w:rsidRPr="00C006EA" w:rsidRDefault="00C006EA" w:rsidP="00D97F0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ОБХВАТ НА ПРОГРАМАТА</w:t>
      </w:r>
    </w:p>
    <w:p w:rsidR="00C006EA" w:rsidRPr="00C006EA" w:rsidRDefault="00C006EA" w:rsidP="00D97F0D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Дейностите, които се финансират по програмата са:</w:t>
      </w:r>
    </w:p>
    <w:p w:rsidR="00C006EA" w:rsidRPr="00C006EA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C006EA" w:rsidRPr="00C006EA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Разпространение на българския културно-исторически, природонаучен</w:t>
      </w:r>
      <w:r w:rsidRPr="00C006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006EA">
        <w:rPr>
          <w:rFonts w:ascii="Times New Roman" w:hAnsi="Times New Roman"/>
          <w:sz w:val="24"/>
          <w:szCs w:val="24"/>
        </w:rPr>
        <w:t>и икономически потенциал сред местното население.</w:t>
      </w:r>
    </w:p>
    <w:p w:rsidR="00C006EA" w:rsidRPr="00C006EA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C006EA" w:rsidRPr="00C006EA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Популяризиране на дейността на българските институции и образователни звена зад граница.</w:t>
      </w:r>
    </w:p>
    <w:p w:rsidR="00C006EA" w:rsidRPr="00C006EA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Повишаване на видимостта на българските организации извън страната.</w:t>
      </w:r>
    </w:p>
    <w:p w:rsidR="00C006EA" w:rsidRPr="00C006EA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Съдействие за запазване и разширяване на обхвата на обучението на български език.</w:t>
      </w:r>
    </w:p>
    <w:p w:rsidR="00C006EA" w:rsidRPr="00C006EA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lastRenderedPageBreak/>
        <w:t>Отразяване на възможностите за обучение и професионално развитие в България.</w:t>
      </w:r>
    </w:p>
    <w:p w:rsidR="00C006EA" w:rsidRPr="00C006EA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Генериране на дигитално медийно съдържание.</w:t>
      </w:r>
    </w:p>
    <w:p w:rsidR="00C006EA" w:rsidRPr="00C006EA" w:rsidRDefault="00C006EA" w:rsidP="00D97F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006EA" w:rsidRPr="00C006EA" w:rsidRDefault="00C006EA" w:rsidP="00D97F0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БЕНЕФИЦИЕРИ</w:t>
      </w:r>
    </w:p>
    <w:p w:rsidR="00C006EA" w:rsidRPr="00C006EA" w:rsidRDefault="00C006EA" w:rsidP="00D97F0D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 xml:space="preserve">Български организации и медии с активна дейност извън страната. </w:t>
      </w:r>
    </w:p>
    <w:p w:rsidR="00C006EA" w:rsidRPr="00C006EA" w:rsidRDefault="00C006EA" w:rsidP="00D97F0D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Бенефициерите могат да кандидатстват за една, няколко или за всички допустими дейности.</w:t>
      </w:r>
    </w:p>
    <w:p w:rsidR="00C006EA" w:rsidRPr="00C006EA" w:rsidRDefault="00C006EA" w:rsidP="00D97F0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ДЕЙНОСТИ ПО ПРОГРАМАТА</w:t>
      </w:r>
    </w:p>
    <w:p w:rsidR="00C006EA" w:rsidRPr="00C006EA" w:rsidRDefault="00C006EA" w:rsidP="00D97F0D">
      <w:pPr>
        <w:pStyle w:val="ListParagraph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006EA" w:rsidRPr="00C006EA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C006EA">
        <w:rPr>
          <w:rFonts w:ascii="Times New Roman" w:hAnsi="Times New Roman"/>
          <w:b/>
          <w:sz w:val="24"/>
          <w:szCs w:val="24"/>
        </w:rPr>
        <w:t>Описание на дейността</w:t>
      </w:r>
    </w:p>
    <w:p w:rsidR="00C006EA" w:rsidRPr="00C006EA" w:rsidRDefault="00C006EA" w:rsidP="00D97F0D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 xml:space="preserve">Бенефициерът кандидатства в ДКП на територията на съответната държава. Всяка кандидатура включва комплекс от дейности, които трябва да доведат до постигане на заложените цели. Бенефициерът описва подробно в кандидатурата дейностите, за които иска финансиране.    </w:t>
      </w:r>
    </w:p>
    <w:p w:rsidR="00C006EA" w:rsidRPr="00C006EA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C006EA">
        <w:rPr>
          <w:rFonts w:ascii="Times New Roman" w:hAnsi="Times New Roman"/>
          <w:b/>
          <w:sz w:val="24"/>
          <w:szCs w:val="24"/>
        </w:rPr>
        <w:t>Принципи на финансиране</w:t>
      </w:r>
    </w:p>
    <w:p w:rsidR="00C006EA" w:rsidRPr="00C006EA" w:rsidRDefault="00C006EA" w:rsidP="00D97F0D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Средствата по одобрените кандидатури се превеждат на бенефициерите по банков път.</w:t>
      </w:r>
    </w:p>
    <w:p w:rsidR="00C006EA" w:rsidRPr="00C006EA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C006EA">
        <w:rPr>
          <w:rFonts w:ascii="Times New Roman" w:hAnsi="Times New Roman"/>
          <w:b/>
          <w:sz w:val="24"/>
          <w:szCs w:val="24"/>
        </w:rPr>
        <w:t xml:space="preserve">Допустимо максимално финансиране </w:t>
      </w:r>
    </w:p>
    <w:p w:rsidR="00C006EA" w:rsidRPr="00C006EA" w:rsidRDefault="00C006EA" w:rsidP="00D97F0D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Максималната стойност на едно финансиране е 10 000 лв.</w:t>
      </w:r>
    </w:p>
    <w:p w:rsidR="00C006EA" w:rsidRPr="00C006EA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C006EA">
        <w:rPr>
          <w:rFonts w:ascii="Times New Roman" w:hAnsi="Times New Roman"/>
          <w:b/>
          <w:sz w:val="24"/>
          <w:szCs w:val="24"/>
        </w:rPr>
        <w:t>Етапи на финансиране</w:t>
      </w:r>
    </w:p>
    <w:p w:rsidR="00C006EA" w:rsidRPr="00C006EA" w:rsidRDefault="00C006EA" w:rsidP="00D97F0D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</w:t>
      </w:r>
      <w:r w:rsidR="00CF17E3">
        <w:rPr>
          <w:rFonts w:ascii="Times New Roman" w:hAnsi="Times New Roman"/>
          <w:sz w:val="24"/>
          <w:szCs w:val="24"/>
        </w:rPr>
        <w:t xml:space="preserve"> разходооправдателни документи.</w:t>
      </w:r>
    </w:p>
    <w:p w:rsidR="00C006EA" w:rsidRPr="00C006EA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C006EA">
        <w:rPr>
          <w:rFonts w:ascii="Times New Roman" w:hAnsi="Times New Roman"/>
          <w:b/>
          <w:sz w:val="24"/>
          <w:szCs w:val="24"/>
        </w:rPr>
        <w:t>Оценяване на кандидатстващите</w:t>
      </w:r>
    </w:p>
    <w:p w:rsidR="00C006EA" w:rsidRPr="00C006EA" w:rsidRDefault="00C006EA" w:rsidP="00D97F0D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 xml:space="preserve">Разглеждането и оценяването на кандидатстващите се извършва в съответното </w:t>
      </w:r>
      <w:r w:rsidR="00166884">
        <w:rPr>
          <w:rFonts w:ascii="Times New Roman" w:hAnsi="Times New Roman"/>
          <w:sz w:val="24"/>
          <w:szCs w:val="24"/>
        </w:rPr>
        <w:t>дипломатическо или консулско представителство (</w:t>
      </w:r>
      <w:r w:rsidRPr="00C006EA">
        <w:rPr>
          <w:rFonts w:ascii="Times New Roman" w:hAnsi="Times New Roman"/>
          <w:sz w:val="24"/>
          <w:szCs w:val="24"/>
        </w:rPr>
        <w:t>ДКП</w:t>
      </w:r>
      <w:r w:rsidR="00166884">
        <w:rPr>
          <w:rFonts w:ascii="Times New Roman" w:hAnsi="Times New Roman"/>
          <w:sz w:val="24"/>
          <w:szCs w:val="24"/>
        </w:rPr>
        <w:t>)</w:t>
      </w:r>
      <w:r w:rsidRPr="00C006EA">
        <w:rPr>
          <w:rFonts w:ascii="Times New Roman" w:hAnsi="Times New Roman"/>
          <w:sz w:val="24"/>
          <w:szCs w:val="24"/>
        </w:rPr>
        <w:t xml:space="preserve">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C006EA" w:rsidRPr="00C006EA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C006EA">
        <w:rPr>
          <w:rFonts w:ascii="Times New Roman" w:hAnsi="Times New Roman"/>
          <w:b/>
          <w:sz w:val="24"/>
          <w:szCs w:val="24"/>
        </w:rPr>
        <w:t>Критерии за оценка</w:t>
      </w:r>
    </w:p>
    <w:p w:rsidR="00C006EA" w:rsidRPr="00C006EA" w:rsidRDefault="00C006EA" w:rsidP="00D97F0D">
      <w:pPr>
        <w:pStyle w:val="ListParagraph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Съответствие на дейността на медиите и организациите</w:t>
      </w:r>
      <w:r w:rsidRPr="00C006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006EA">
        <w:rPr>
          <w:rFonts w:ascii="Times New Roman" w:hAnsi="Times New Roman"/>
          <w:sz w:val="24"/>
          <w:szCs w:val="24"/>
        </w:rPr>
        <w:t>с целите на програмата.</w:t>
      </w:r>
    </w:p>
    <w:p w:rsidR="00C006EA" w:rsidRPr="00C006EA" w:rsidRDefault="00C006EA" w:rsidP="00D97F0D">
      <w:pPr>
        <w:pStyle w:val="ListParagraph"/>
        <w:spacing w:after="120"/>
        <w:ind w:left="1080"/>
        <w:jc w:val="both"/>
        <w:rPr>
          <w:rFonts w:ascii="Times New Roman" w:hAnsi="Times New Roman"/>
          <w:sz w:val="24"/>
          <w:szCs w:val="24"/>
        </w:rPr>
      </w:pPr>
    </w:p>
    <w:p w:rsidR="00C006EA" w:rsidRPr="00C006EA" w:rsidRDefault="00C006EA" w:rsidP="00D97F0D">
      <w:pPr>
        <w:pStyle w:val="ListParagraph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Целесъобразно и ефективно разпределение на средствата.</w:t>
      </w:r>
      <w:r w:rsidRPr="00C006EA">
        <w:rPr>
          <w:rFonts w:ascii="Times New Roman" w:hAnsi="Times New Roman"/>
          <w:sz w:val="24"/>
          <w:szCs w:val="24"/>
        </w:rPr>
        <w:br/>
      </w:r>
    </w:p>
    <w:p w:rsidR="00C006EA" w:rsidRPr="00C006EA" w:rsidRDefault="00C006EA" w:rsidP="00D97F0D">
      <w:pPr>
        <w:pStyle w:val="ListParagraph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lastRenderedPageBreak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  <w:r w:rsidRPr="00C006EA">
        <w:rPr>
          <w:rFonts w:ascii="Times New Roman" w:hAnsi="Times New Roman"/>
          <w:sz w:val="24"/>
          <w:szCs w:val="24"/>
        </w:rPr>
        <w:br/>
      </w:r>
    </w:p>
    <w:p w:rsidR="00C006EA" w:rsidRPr="00C006EA" w:rsidRDefault="00C006EA" w:rsidP="00D97F0D">
      <w:pPr>
        <w:pStyle w:val="ListParagraph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Перспективи за бъдещото развитие на медиите и организациите (устойчивост на дейността им).</w:t>
      </w:r>
    </w:p>
    <w:p w:rsidR="00C006EA" w:rsidRPr="00C006EA" w:rsidRDefault="00C006EA" w:rsidP="00D97F0D">
      <w:pPr>
        <w:pStyle w:val="ListParagraph"/>
        <w:spacing w:after="120"/>
        <w:ind w:left="1080"/>
        <w:jc w:val="both"/>
        <w:rPr>
          <w:rFonts w:ascii="Times New Roman" w:hAnsi="Times New Roman"/>
          <w:sz w:val="24"/>
          <w:szCs w:val="24"/>
        </w:rPr>
      </w:pPr>
    </w:p>
    <w:p w:rsidR="00C006EA" w:rsidRPr="00C006EA" w:rsidRDefault="00C006EA" w:rsidP="00D97F0D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C006EA">
        <w:rPr>
          <w:rFonts w:ascii="Times New Roman" w:hAnsi="Times New Roman"/>
          <w:b/>
          <w:sz w:val="24"/>
          <w:szCs w:val="24"/>
        </w:rPr>
        <w:t>Процедура</w:t>
      </w:r>
    </w:p>
    <w:p w:rsidR="00C006EA" w:rsidRPr="00C006EA" w:rsidRDefault="00C006EA" w:rsidP="00D97F0D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Бенефициерът представя следните документи:</w:t>
      </w:r>
    </w:p>
    <w:p w:rsidR="00C006EA" w:rsidRPr="00C006EA" w:rsidRDefault="00C006EA" w:rsidP="00D97F0D">
      <w:pPr>
        <w:pStyle w:val="ListParagraph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Формуляр за кандидатстване, придружен с проектно предложение и приложенията към него, включително и декларация, че кандидатите не са обявени в несъстоятелност; не са в производство по ликвидация или не се намират в подобна процедура, съгласно с националните закони и подзаконови актове; не са в открито производство по несъстоятелност или не се намират в подобна процедура, съгласно националните и подзаконови актове.</w:t>
      </w:r>
      <w:r w:rsidRPr="00C006EA">
        <w:rPr>
          <w:rFonts w:ascii="Times New Roman" w:hAnsi="Times New Roman"/>
          <w:sz w:val="24"/>
          <w:szCs w:val="24"/>
        </w:rPr>
        <w:br/>
      </w:r>
    </w:p>
    <w:p w:rsidR="00C006EA" w:rsidRPr="00C006EA" w:rsidRDefault="00C006EA" w:rsidP="00D97F0D">
      <w:pPr>
        <w:pStyle w:val="ListParagraph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Документ за регистрация на бенефициера, съгласно местното законодателство.</w:t>
      </w:r>
      <w:r w:rsidRPr="00C006EA">
        <w:rPr>
          <w:rFonts w:ascii="Times New Roman" w:hAnsi="Times New Roman"/>
          <w:sz w:val="24"/>
          <w:szCs w:val="24"/>
        </w:rPr>
        <w:br/>
      </w:r>
    </w:p>
    <w:p w:rsidR="00C006EA" w:rsidRPr="00C006EA" w:rsidRDefault="00C006EA" w:rsidP="00D97F0D">
      <w:pPr>
        <w:pStyle w:val="ListParagraph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 xml:space="preserve">Финансова идентификация на банковата сметка, подписана и подпечатана от обслужващата банка, съдържаща името на бенефициера, изписано на латиница, името на банката, изписано на латиница, </w:t>
      </w:r>
      <w:r w:rsidRPr="00C006EA">
        <w:rPr>
          <w:rFonts w:ascii="Times New Roman" w:hAnsi="Times New Roman"/>
          <w:sz w:val="24"/>
          <w:szCs w:val="24"/>
          <w:lang w:val="en-US"/>
        </w:rPr>
        <w:t>SWIFT</w:t>
      </w:r>
      <w:r w:rsidRPr="00C006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006EA">
        <w:rPr>
          <w:rFonts w:ascii="Times New Roman" w:hAnsi="Times New Roman"/>
          <w:sz w:val="24"/>
          <w:szCs w:val="24"/>
        </w:rPr>
        <w:t xml:space="preserve">кода на банката или друг идентификационен номер за банките извън </w:t>
      </w:r>
      <w:r w:rsidRPr="00C006EA">
        <w:rPr>
          <w:rFonts w:ascii="Times New Roman" w:hAnsi="Times New Roman"/>
          <w:sz w:val="24"/>
          <w:szCs w:val="24"/>
          <w:lang w:val="en-US"/>
        </w:rPr>
        <w:t>SWIFT</w:t>
      </w:r>
      <w:r w:rsidRPr="00C006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006EA">
        <w:rPr>
          <w:rFonts w:ascii="Times New Roman" w:hAnsi="Times New Roman"/>
          <w:sz w:val="24"/>
          <w:szCs w:val="24"/>
        </w:rPr>
        <w:t xml:space="preserve">системата, </w:t>
      </w:r>
      <w:r w:rsidRPr="00C006EA">
        <w:rPr>
          <w:rFonts w:ascii="Times New Roman" w:hAnsi="Times New Roman"/>
          <w:sz w:val="24"/>
          <w:szCs w:val="24"/>
          <w:lang w:val="en-US"/>
        </w:rPr>
        <w:t>IBAN</w:t>
      </w:r>
      <w:r w:rsidRPr="00C006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006EA">
        <w:rPr>
          <w:rFonts w:ascii="Times New Roman" w:hAnsi="Times New Roman"/>
          <w:sz w:val="24"/>
          <w:szCs w:val="24"/>
        </w:rPr>
        <w:t>или номера на сметката на бенефициера.</w:t>
      </w:r>
    </w:p>
    <w:p w:rsidR="00C006EA" w:rsidRPr="00C006EA" w:rsidRDefault="00C006EA" w:rsidP="00D97F0D">
      <w:pPr>
        <w:pStyle w:val="ListParagraph"/>
        <w:spacing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br/>
        <w:t>Всички необходими документи се предоставят на български език, включително неговите диалектни форми. В случай че оригиналът е на друг език, той се придружава с неофициален превод на български език, заверен от бенефициера.</w:t>
      </w:r>
    </w:p>
    <w:p w:rsidR="00C006EA" w:rsidRPr="00C006EA" w:rsidRDefault="00C006EA" w:rsidP="00D97F0D">
      <w:pPr>
        <w:pStyle w:val="ListParagraph"/>
        <w:spacing w:after="120"/>
        <w:ind w:left="1080"/>
        <w:jc w:val="both"/>
        <w:rPr>
          <w:rFonts w:ascii="Times New Roman" w:hAnsi="Times New Roman"/>
          <w:sz w:val="24"/>
          <w:szCs w:val="24"/>
        </w:rPr>
      </w:pPr>
    </w:p>
    <w:p w:rsidR="00C006EA" w:rsidRPr="00C006EA" w:rsidRDefault="00C006EA" w:rsidP="00D97F0D">
      <w:pPr>
        <w:pStyle w:val="ListParagraph"/>
        <w:spacing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 xml:space="preserve">Кандидатурите се подават на хартиен носител в съответното ДКП, </w:t>
      </w:r>
      <w:r w:rsidRPr="00B63725">
        <w:rPr>
          <w:rFonts w:ascii="Times New Roman" w:hAnsi="Times New Roman"/>
          <w:b/>
          <w:sz w:val="24"/>
          <w:szCs w:val="24"/>
        </w:rPr>
        <w:t xml:space="preserve">най-късно до </w:t>
      </w:r>
      <w:r w:rsidR="00B63725" w:rsidRPr="00B63725">
        <w:rPr>
          <w:rFonts w:ascii="Times New Roman" w:hAnsi="Times New Roman"/>
          <w:b/>
          <w:sz w:val="24"/>
          <w:szCs w:val="24"/>
        </w:rPr>
        <w:t>16 ноември 2022 г</w:t>
      </w:r>
      <w:r w:rsidRPr="00B63725">
        <w:rPr>
          <w:rFonts w:ascii="Times New Roman" w:hAnsi="Times New Roman"/>
          <w:b/>
          <w:sz w:val="24"/>
          <w:szCs w:val="24"/>
        </w:rPr>
        <w:t>.</w:t>
      </w:r>
      <w:r w:rsidRPr="00C006EA">
        <w:rPr>
          <w:rFonts w:ascii="Times New Roman" w:hAnsi="Times New Roman"/>
          <w:sz w:val="24"/>
          <w:szCs w:val="24"/>
        </w:rPr>
        <w:t xml:space="preserve"> </w:t>
      </w:r>
    </w:p>
    <w:p w:rsidR="00C006EA" w:rsidRPr="00C006EA" w:rsidRDefault="00C006EA" w:rsidP="00D97F0D">
      <w:pPr>
        <w:pStyle w:val="ListParagraph"/>
        <w:spacing w:after="120"/>
        <w:ind w:left="1080"/>
        <w:jc w:val="both"/>
        <w:rPr>
          <w:rFonts w:ascii="Times New Roman" w:hAnsi="Times New Roman"/>
          <w:sz w:val="24"/>
          <w:szCs w:val="24"/>
        </w:rPr>
      </w:pPr>
    </w:p>
    <w:p w:rsidR="00C006EA" w:rsidRDefault="00C006EA" w:rsidP="00F91B32">
      <w:pPr>
        <w:pStyle w:val="ListParagraph"/>
        <w:spacing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 xml:space="preserve">Отчет за изразходваното финансиране се представя в съответното ДКП </w:t>
      </w:r>
      <w:r w:rsidRPr="004578A8">
        <w:rPr>
          <w:rFonts w:ascii="Times New Roman" w:hAnsi="Times New Roman"/>
          <w:b/>
          <w:sz w:val="24"/>
          <w:szCs w:val="24"/>
        </w:rPr>
        <w:t xml:space="preserve">до 30 ноември </w:t>
      </w:r>
      <w:r w:rsidR="00410C0D" w:rsidRPr="004578A8">
        <w:rPr>
          <w:rFonts w:ascii="Times New Roman" w:hAnsi="Times New Roman"/>
          <w:b/>
          <w:sz w:val="24"/>
          <w:szCs w:val="24"/>
        </w:rPr>
        <w:t>2022 г.</w:t>
      </w:r>
      <w:r w:rsidRPr="00C006EA">
        <w:rPr>
          <w:rFonts w:ascii="Times New Roman" w:hAnsi="Times New Roman"/>
          <w:sz w:val="24"/>
          <w:szCs w:val="24"/>
        </w:rPr>
        <w:t xml:space="preserve"> на хартиен носител. Отчетът трябва да съдържа финансова част и съдържателна част (описание на извършените дейности).</w:t>
      </w:r>
    </w:p>
    <w:p w:rsidR="001376A9" w:rsidRPr="00C006EA" w:rsidRDefault="001376A9" w:rsidP="00F91B3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7499" w:rsidRPr="00C006EA" w:rsidRDefault="00C006EA" w:rsidP="00F91B32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C006EA">
        <w:rPr>
          <w:rFonts w:ascii="Times New Roman" w:hAnsi="Times New Roman"/>
          <w:sz w:val="24"/>
          <w:szCs w:val="24"/>
        </w:rPr>
        <w:t>Средствата по националната програма не могат да се използват за дейности, финансирани от фондовете на Европейския съюз, друго национално финансиране, както и други донорски програми.</w:t>
      </w:r>
      <w:bookmarkStart w:id="0" w:name="_GoBack"/>
      <w:bookmarkEnd w:id="0"/>
    </w:p>
    <w:sectPr w:rsidR="00B77499" w:rsidRPr="00C006EA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061" w:rsidRDefault="004D0061" w:rsidP="00C006EA">
      <w:pPr>
        <w:spacing w:after="0" w:line="240" w:lineRule="auto"/>
      </w:pPr>
      <w:r>
        <w:separator/>
      </w:r>
    </w:p>
  </w:endnote>
  <w:endnote w:type="continuationSeparator" w:id="0">
    <w:p w:rsidR="004D0061" w:rsidRDefault="004D0061" w:rsidP="00C0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396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06EA" w:rsidRDefault="00C006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B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06EA" w:rsidRDefault="00C006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061" w:rsidRDefault="004D0061" w:rsidP="00C006EA">
      <w:pPr>
        <w:spacing w:after="0" w:line="240" w:lineRule="auto"/>
      </w:pPr>
      <w:r>
        <w:separator/>
      </w:r>
    </w:p>
  </w:footnote>
  <w:footnote w:type="continuationSeparator" w:id="0">
    <w:p w:rsidR="004D0061" w:rsidRDefault="004D0061" w:rsidP="00C00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30DE"/>
    <w:multiLevelType w:val="hybridMultilevel"/>
    <w:tmpl w:val="9AF8A5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C789D"/>
    <w:multiLevelType w:val="hybridMultilevel"/>
    <w:tmpl w:val="D29C344E"/>
    <w:lvl w:ilvl="0" w:tplc="8FAE8AA8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D1CAA"/>
    <w:multiLevelType w:val="multilevel"/>
    <w:tmpl w:val="C8669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7A404E6C"/>
    <w:multiLevelType w:val="hybridMultilevel"/>
    <w:tmpl w:val="7BA613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EA"/>
    <w:rsid w:val="001376A9"/>
    <w:rsid w:val="00166884"/>
    <w:rsid w:val="00235216"/>
    <w:rsid w:val="003A1106"/>
    <w:rsid w:val="003C60EB"/>
    <w:rsid w:val="00401285"/>
    <w:rsid w:val="00410C0D"/>
    <w:rsid w:val="00437B67"/>
    <w:rsid w:val="004578A8"/>
    <w:rsid w:val="004D0061"/>
    <w:rsid w:val="005138CE"/>
    <w:rsid w:val="005A6D7F"/>
    <w:rsid w:val="00664F48"/>
    <w:rsid w:val="00865147"/>
    <w:rsid w:val="00A07A4E"/>
    <w:rsid w:val="00A21AE1"/>
    <w:rsid w:val="00B63725"/>
    <w:rsid w:val="00B77499"/>
    <w:rsid w:val="00C006EA"/>
    <w:rsid w:val="00C25E19"/>
    <w:rsid w:val="00CF17E3"/>
    <w:rsid w:val="00D249AF"/>
    <w:rsid w:val="00D97F0D"/>
    <w:rsid w:val="00DC6A45"/>
    <w:rsid w:val="00E67667"/>
    <w:rsid w:val="00E71628"/>
    <w:rsid w:val="00F9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EA"/>
    <w:pPr>
      <w:spacing w:after="160" w:line="25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6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06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6EA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C006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6EA"/>
    <w:rPr>
      <w:rFonts w:ascii="Calibri" w:eastAsia="Calibri" w:hAnsi="Calibri" w:cs="Times New Roman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EA"/>
    <w:pPr>
      <w:spacing w:after="160" w:line="25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6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06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6EA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C006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6EA"/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</dc:creator>
  <cp:lastModifiedBy>Consul</cp:lastModifiedBy>
  <cp:revision>24</cp:revision>
  <dcterms:created xsi:type="dcterms:W3CDTF">2022-10-31T10:33:00Z</dcterms:created>
  <dcterms:modified xsi:type="dcterms:W3CDTF">2022-10-31T11:44:00Z</dcterms:modified>
</cp:coreProperties>
</file>